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FD3B22" w:rsidRDefault="00A40068" w:rsidP="00590EB5">
      <w:pPr>
        <w:jc w:val="center"/>
        <w:rPr>
          <w:rFonts w:ascii="Arial" w:hAnsi="Arial" w:cs="Arial"/>
          <w:b/>
          <w:color w:val="000000"/>
        </w:rPr>
      </w:pPr>
      <w:r w:rsidRPr="00FD3B22">
        <w:rPr>
          <w:rFonts w:ascii="Arial" w:hAnsi="Arial" w:cs="Arial"/>
          <w:b/>
          <w:color w:val="000000"/>
        </w:rPr>
        <w:t>CONST</w:t>
      </w:r>
      <w:r w:rsidR="000E272C">
        <w:rPr>
          <w:rFonts w:ascii="Arial" w:hAnsi="Arial" w:cs="Arial"/>
          <w:b/>
          <w:color w:val="000000"/>
        </w:rPr>
        <w:t>RUCTION PRODUCTS REGULATION 2020</w:t>
      </w:r>
      <w:r w:rsidRPr="00FD3B22">
        <w:rPr>
          <w:rFonts w:ascii="Arial" w:hAnsi="Arial" w:cs="Arial"/>
          <w:b/>
          <w:color w:val="000000"/>
        </w:rPr>
        <w:t xml:space="preserve"> </w:t>
      </w:r>
      <w:r w:rsidRPr="00FD3B22">
        <w:rPr>
          <w:rFonts w:ascii="Arial" w:hAnsi="Arial" w:cs="Arial"/>
          <w:b/>
          <w:color w:val="000000"/>
        </w:rPr>
        <w:br/>
        <w:t>DECLARATION OF PERFORMANCE</w:t>
      </w:r>
    </w:p>
    <w:p w14:paraId="4F8260F1" w14:textId="77777777" w:rsidR="00A40068" w:rsidRPr="00A40068" w:rsidRDefault="00A40068" w:rsidP="00A40068">
      <w:pPr>
        <w:rPr>
          <w:rFonts w:ascii="Arial" w:hAnsi="Arial" w:cs="Arial"/>
          <w:color w:val="000000"/>
          <w:sz w:val="4"/>
        </w:rPr>
      </w:pPr>
    </w:p>
    <w:p w14:paraId="57CDD43E" w14:textId="77777777" w:rsidR="00A40068" w:rsidRPr="000569F8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Arial" w:hAnsi="Arial" w:cs="Arial"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>Unique identification code of the product-type:</w:t>
      </w:r>
      <w:r w:rsidR="000569F8">
        <w:rPr>
          <w:rFonts w:ascii="Arial" w:hAnsi="Arial" w:cs="Arial"/>
          <w:sz w:val="18"/>
          <w:szCs w:val="18"/>
        </w:rPr>
        <w:t xml:space="preserve"> </w:t>
      </w:r>
      <w:r w:rsidR="00A0331A">
        <w:rPr>
          <w:rFonts w:ascii="Arial" w:hAnsi="Arial" w:cs="Arial"/>
          <w:b/>
          <w:sz w:val="18"/>
          <w:szCs w:val="18"/>
        </w:rPr>
        <w:t>M2M</w:t>
      </w:r>
      <w:r w:rsidR="00A0331A">
        <w:rPr>
          <w:rFonts w:ascii="Arial" w:hAnsi="Arial" w:cs="Arial"/>
          <w:b/>
          <w:sz w:val="18"/>
          <w:szCs w:val="18"/>
          <w:vertAlign w:val="superscript"/>
        </w:rPr>
        <w:t>+</w:t>
      </w:r>
      <w:r w:rsidR="00A40068" w:rsidRPr="000569F8">
        <w:rPr>
          <w:rFonts w:ascii="Arial" w:hAnsi="Arial" w:cs="Arial"/>
          <w:b/>
          <w:sz w:val="18"/>
          <w:szCs w:val="18"/>
        </w:rPr>
        <w:br/>
      </w:r>
    </w:p>
    <w:p w14:paraId="0E542E6F" w14:textId="337B81B3" w:rsidR="00A40068" w:rsidRPr="000569F8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Intended use or uses of the construction product, in accordance with applicable harmonised technical specification, as foreseen by the manufacturer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073ABB">
        <w:rPr>
          <w:rFonts w:ascii="Arial" w:hAnsi="Arial" w:cs="Arial"/>
          <w:b/>
          <w:sz w:val="18"/>
          <w:szCs w:val="18"/>
        </w:rPr>
        <w:t>Doub</w:t>
      </w:r>
      <w:r w:rsidR="00EF0F30">
        <w:rPr>
          <w:rFonts w:ascii="Arial" w:hAnsi="Arial" w:cs="Arial"/>
          <w:b/>
          <w:sz w:val="18"/>
          <w:szCs w:val="18"/>
        </w:rPr>
        <w:t>le</w:t>
      </w:r>
      <w:r w:rsidR="004E549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External pedestrian door set for commercial premises (or similar)</w:t>
      </w:r>
      <w:r w:rsidR="00114FF0">
        <w:rPr>
          <w:rFonts w:ascii="Arial" w:hAnsi="Arial" w:cs="Arial"/>
          <w:b/>
          <w:sz w:val="18"/>
          <w:szCs w:val="18"/>
        </w:rPr>
        <w:t xml:space="preserve"> with fire and/or smoke compartmentation and/or escape routes</w:t>
      </w:r>
      <w:r w:rsidR="00A40068" w:rsidRPr="000569F8">
        <w:rPr>
          <w:rFonts w:ascii="Arial" w:hAnsi="Arial" w:cs="Arial"/>
          <w:b/>
          <w:sz w:val="18"/>
          <w:szCs w:val="18"/>
        </w:rPr>
        <w:br/>
      </w:r>
    </w:p>
    <w:p w14:paraId="4E861EFB" w14:textId="2C0099C0" w:rsidR="00E15379" w:rsidRPr="000569F8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Name, registered trade name or registered trade mark and contact address of the manufacturer as required</w:t>
      </w:r>
      <w:r w:rsidR="00E15379" w:rsidRPr="000569F8">
        <w:rPr>
          <w:rFonts w:ascii="Arial" w:hAnsi="Arial" w:cs="Arial"/>
          <w:sz w:val="18"/>
          <w:szCs w:val="18"/>
        </w:rPr>
        <w:t>:</w:t>
      </w:r>
      <w:r w:rsidR="000569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Bradbury Security (Part of Bradbury Group Ltd)</w:t>
      </w:r>
      <w:r w:rsidR="00A80569">
        <w:rPr>
          <w:rFonts w:ascii="Arial" w:hAnsi="Arial" w:cs="Arial"/>
          <w:b/>
          <w:sz w:val="18"/>
          <w:szCs w:val="18"/>
        </w:rPr>
        <w:t xml:space="preserve"> 6 Atkinsons way, </w:t>
      </w:r>
      <w:proofErr w:type="spellStart"/>
      <w:r w:rsidR="00A80569">
        <w:rPr>
          <w:rFonts w:ascii="Arial" w:hAnsi="Arial" w:cs="Arial"/>
          <w:b/>
          <w:sz w:val="18"/>
          <w:szCs w:val="18"/>
        </w:rPr>
        <w:t>Foxhills</w:t>
      </w:r>
      <w:proofErr w:type="spellEnd"/>
      <w:r w:rsidR="00A80569">
        <w:rPr>
          <w:rFonts w:ascii="Arial" w:hAnsi="Arial" w:cs="Arial"/>
          <w:b/>
          <w:sz w:val="18"/>
          <w:szCs w:val="18"/>
        </w:rPr>
        <w:t xml:space="preserve"> industrial estate, North Lincolnshire, DN15 8QJ</w:t>
      </w:r>
      <w:r w:rsidR="00A40068" w:rsidRPr="000569F8">
        <w:rPr>
          <w:rFonts w:ascii="Arial" w:hAnsi="Arial" w:cs="Arial"/>
          <w:b/>
          <w:sz w:val="18"/>
          <w:szCs w:val="18"/>
        </w:rPr>
        <w:br/>
      </w:r>
    </w:p>
    <w:p w14:paraId="0A5F680A" w14:textId="451B02B1" w:rsidR="00E15379" w:rsidRPr="000569F8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System or systems of assessment and verification of constancy of performance of the construction product as set out in CPR, Annex V: </w:t>
      </w:r>
      <w:r>
        <w:rPr>
          <w:rFonts w:ascii="Arial" w:hAnsi="Arial" w:cs="Arial"/>
          <w:b/>
          <w:sz w:val="18"/>
          <w:szCs w:val="18"/>
        </w:rPr>
        <w:t>System 1 and 3</w:t>
      </w:r>
      <w:r w:rsidR="00A40068" w:rsidRPr="000569F8">
        <w:rPr>
          <w:rFonts w:ascii="Arial" w:hAnsi="Arial" w:cs="Arial"/>
          <w:b/>
          <w:sz w:val="18"/>
          <w:szCs w:val="18"/>
        </w:rPr>
        <w:br/>
      </w:r>
    </w:p>
    <w:p w14:paraId="09270DD8" w14:textId="27E6D960" w:rsidR="00E15379" w:rsidRPr="000569F8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Harmonised standard: </w:t>
      </w:r>
      <w:r>
        <w:rPr>
          <w:rFonts w:ascii="Arial" w:hAnsi="Arial" w:cs="Arial"/>
          <w:b/>
          <w:sz w:val="18"/>
          <w:szCs w:val="18"/>
        </w:rPr>
        <w:t>EN 14351-1:2006 + A2:2016</w:t>
      </w:r>
      <w:r w:rsidR="00217C60">
        <w:rPr>
          <w:rFonts w:ascii="Arial" w:hAnsi="Arial" w:cs="Arial"/>
          <w:b/>
          <w:sz w:val="18"/>
          <w:szCs w:val="18"/>
        </w:rPr>
        <w:t xml:space="preserve">; EN 16034:2014 </w:t>
      </w:r>
      <w:r w:rsidR="00A40068" w:rsidRPr="000569F8">
        <w:rPr>
          <w:rFonts w:ascii="Arial" w:hAnsi="Arial" w:cs="Arial"/>
          <w:b/>
          <w:sz w:val="18"/>
          <w:szCs w:val="18"/>
        </w:rPr>
        <w:br/>
      </w:r>
    </w:p>
    <w:p w14:paraId="78B855D6" w14:textId="0D72B306" w:rsidR="00A40068" w:rsidRPr="00FD6516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Notified body: </w:t>
      </w:r>
      <w:proofErr w:type="spellStart"/>
      <w:r w:rsidR="00217C60">
        <w:rPr>
          <w:rFonts w:ascii="Arial" w:hAnsi="Arial" w:cs="Arial"/>
          <w:b/>
          <w:sz w:val="18"/>
          <w:szCs w:val="18"/>
        </w:rPr>
        <w:t>Efectis</w:t>
      </w:r>
      <w:proofErr w:type="spellEnd"/>
      <w:r w:rsidR="004E5490">
        <w:rPr>
          <w:rFonts w:ascii="Arial" w:hAnsi="Arial" w:cs="Arial"/>
          <w:b/>
          <w:sz w:val="18"/>
          <w:szCs w:val="18"/>
        </w:rPr>
        <w:t>: CE – 1812-CPR-1729</w:t>
      </w:r>
      <w:r w:rsidR="00A40068" w:rsidRPr="00FD6516">
        <w:rPr>
          <w:rFonts w:ascii="Arial" w:hAnsi="Arial" w:cs="Arial"/>
          <w:b/>
          <w:sz w:val="18"/>
          <w:szCs w:val="18"/>
        </w:rPr>
        <w:br/>
      </w:r>
    </w:p>
    <w:p w14:paraId="3821522D" w14:textId="7EC0DB1A" w:rsidR="00DC0120" w:rsidRPr="00DC0120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>Declared performance</w:t>
      </w:r>
      <w:r w:rsidR="00735228" w:rsidRPr="000569F8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35228" w14:paraId="122F0AB2" w14:textId="77777777" w:rsidTr="00735228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735228" w:rsidRDefault="00735228" w:rsidP="0073522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5228">
              <w:rPr>
                <w:rFonts w:ascii="Arial" w:hAnsi="Arial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735228" w:rsidRDefault="00735228" w:rsidP="0073522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5228">
              <w:rPr>
                <w:rFonts w:ascii="Arial" w:hAnsi="Arial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735228" w:rsidRDefault="00000E94" w:rsidP="0073522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Ha</w:t>
            </w:r>
            <w:r w:rsidR="00735228" w:rsidRPr="00735228">
              <w:rPr>
                <w:rFonts w:ascii="Arial" w:hAnsi="Arial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751738" w:rsidRPr="00735228" w14:paraId="4369004B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735228" w:rsidRDefault="00697EF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735228" w:rsidRDefault="00751738" w:rsidP="007352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 xml:space="preserve">EN </w:t>
            </w:r>
            <w:r w:rsidR="00697EFA">
              <w:rPr>
                <w:rFonts w:ascii="Arial" w:hAnsi="Arial" w:cs="Arial"/>
                <w:sz w:val="16"/>
                <w:szCs w:val="18"/>
              </w:rPr>
              <w:t>14351-1:2006+A2:2016</w:t>
            </w:r>
          </w:p>
        </w:tc>
      </w:tr>
      <w:tr w:rsidR="00751738" w:rsidRPr="00735228" w14:paraId="065EA672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735228" w:rsidRDefault="00697EF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7BE6CE9A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735228" w:rsidRDefault="00697EF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79480D80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735228" w:rsidRDefault="00697EF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1E4E4076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735228" w:rsidRDefault="00697EF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2574B869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735228" w:rsidRDefault="00697EF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2BA57AF1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735228" w:rsidRDefault="004A6FBF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Up to 2454</w:t>
            </w:r>
            <w:r w:rsidR="00751738" w:rsidRPr="00735228">
              <w:rPr>
                <w:rFonts w:ascii="Arial" w:hAnsi="Arial" w:cs="Arial"/>
                <w:sz w:val="16"/>
                <w:szCs w:val="18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0E1388EA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735228" w:rsidRDefault="0071339C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Up to 35</w:t>
            </w:r>
            <w:r w:rsidR="00751738">
              <w:rPr>
                <w:rFonts w:ascii="Arial" w:hAnsi="Arial" w:cs="Arial"/>
                <w:sz w:val="16"/>
                <w:szCs w:val="18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60FA4A4C" w14:textId="77777777" w:rsidTr="00FB3014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735228" w:rsidRDefault="0071339C" w:rsidP="00AB09F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3.4</w:t>
            </w:r>
            <w:r w:rsidR="0075173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51738" w:rsidRPr="00735228">
              <w:rPr>
                <w:rFonts w:ascii="Arial" w:hAnsi="Arial" w:cs="Arial"/>
                <w:sz w:val="16"/>
                <w:szCs w:val="18"/>
              </w:rPr>
              <w:t>W/m</w:t>
            </w:r>
            <w:r w:rsidR="00751738" w:rsidRPr="0072315C">
              <w:rPr>
                <w:rFonts w:ascii="Arial" w:hAnsi="Arial" w:cs="Arial"/>
                <w:sz w:val="16"/>
                <w:szCs w:val="18"/>
                <w:vertAlign w:val="superscript"/>
              </w:rPr>
              <w:t>2</w:t>
            </w:r>
            <w:r w:rsidR="00751738">
              <w:rPr>
                <w:rFonts w:ascii="Arial" w:hAnsi="Arial" w:cs="Arial"/>
                <w:sz w:val="16"/>
                <w:szCs w:val="18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7BF21812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 w:rsidRPr="00735228">
              <w:rPr>
                <w:rFonts w:ascii="Arial" w:hAnsi="Arial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735228" w:rsidRDefault="00697EFA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738" w:rsidRPr="00735228" w14:paraId="1E38C7EF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735228" w:rsidRDefault="0075173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 1125</w:t>
            </w:r>
            <w:r w:rsidR="00697EFA">
              <w:rPr>
                <w:rFonts w:ascii="Arial" w:hAnsi="Arial" w:cs="Arial"/>
                <w:sz w:val="16"/>
                <w:szCs w:val="18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735228" w:rsidRDefault="00751738" w:rsidP="00A4006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D5EE8" w:rsidRPr="00735228" w14:paraId="2E82A803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Default="00ED5EE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Default="00ED5EE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  E:</w:t>
            </w:r>
          </w:p>
          <w:p w14:paraId="50A4AA32" w14:textId="77777777" w:rsidR="00ED5EE8" w:rsidRDefault="00ED5EE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E1:</w:t>
            </w:r>
          </w:p>
          <w:p w14:paraId="58221907" w14:textId="77777777" w:rsidR="00ED5EE8" w:rsidRDefault="00ED5EE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  E2:</w:t>
            </w:r>
          </w:p>
          <w:p w14:paraId="11DC8AAE" w14:textId="4F1700B7" w:rsidR="00ED5EE8" w:rsidRDefault="00ED5EE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Default="00ED5EE8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E1A9AA1" w14:textId="77777777" w:rsidR="00ED5EE8" w:rsidRDefault="00ED5EE8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7CC533E" w14:textId="77777777" w:rsidR="00ED5EE8" w:rsidRDefault="00ED5EE8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90</w:t>
            </w:r>
          </w:p>
          <w:p w14:paraId="14B897ED" w14:textId="77777777" w:rsidR="00ED5EE8" w:rsidRDefault="00ED5EE8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  <w:p w14:paraId="5BC405D8" w14:textId="77777777" w:rsidR="00ED5EE8" w:rsidRDefault="00ED5EE8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  <w:p w14:paraId="54C0FDF7" w14:textId="34853E4C" w:rsidR="00ED5EE8" w:rsidRDefault="00ED5EE8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735228" w:rsidRDefault="00ED5EE8" w:rsidP="00ED5EE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 16034:2014</w:t>
            </w:r>
          </w:p>
        </w:tc>
      </w:tr>
      <w:tr w:rsidR="00ED5EE8" w:rsidRPr="00735228" w14:paraId="76DE3FEA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Default="00ED5EE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Default="00455D1C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Default="00ED5EE8" w:rsidP="00ED5EE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D5EE8" w:rsidRPr="00735228" w14:paraId="3D2BF637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Default="00ED5EE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Default="00114FF0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Default="00ED5EE8" w:rsidP="00ED5EE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D5EE8" w:rsidRPr="00735228" w14:paraId="46158859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Default="00ED5EE8" w:rsidP="0073522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Default="00455D1C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Default="00ED5EE8" w:rsidP="00ED5EE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D5EE8" w:rsidRPr="00735228" w14:paraId="1CF0A77A" w14:textId="77777777" w:rsidTr="003E25D8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Default="00ED5EE8" w:rsidP="00AA1DC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Durability of self</w:t>
            </w:r>
            <w:r w:rsidR="00AA1DC2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>closing</w:t>
            </w:r>
            <w:r w:rsidR="00AA1DC2">
              <w:rPr>
                <w:rFonts w:ascii="Arial" w:hAnsi="Arial" w:cs="Arial"/>
                <w:sz w:val="16"/>
                <w:szCs w:val="18"/>
              </w:rPr>
              <w:t>:</w:t>
            </w:r>
          </w:p>
          <w:p w14:paraId="08A16CF5" w14:textId="77777777" w:rsidR="00AA1DC2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Against degradation (cycle testing):</w:t>
            </w:r>
          </w:p>
          <w:p w14:paraId="694F31E5" w14:textId="6D34932C" w:rsidR="00AA1DC2" w:rsidRPr="00AA1DC2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Default="00ED5EE8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223CC5C0" w14:textId="77777777" w:rsidR="00455D1C" w:rsidRDefault="00455D1C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  <w:p w14:paraId="60A7E6AA" w14:textId="77777777" w:rsidR="00455D1C" w:rsidRDefault="00455D1C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E3A0585" w14:textId="2448F1EF" w:rsidR="00455D1C" w:rsidRDefault="00455D1C" w:rsidP="003E25D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Default="00ED5EE8" w:rsidP="00ED5EE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AC32F6F" w14:textId="77777777" w:rsidR="00FD7696" w:rsidRDefault="00FD7696" w:rsidP="00543CDE">
      <w:pPr>
        <w:pStyle w:val="ListParagraph"/>
        <w:ind w:left="284"/>
        <w:rPr>
          <w:rFonts w:ascii="Arial" w:hAnsi="Arial" w:cs="Arial"/>
          <w:sz w:val="18"/>
          <w:szCs w:val="18"/>
        </w:rPr>
      </w:pPr>
    </w:p>
    <w:p w14:paraId="085FC222" w14:textId="77777777" w:rsidR="004E5490" w:rsidRDefault="00E15379" w:rsidP="004E5490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  <w:r w:rsidRPr="000569F8">
        <w:rPr>
          <w:rFonts w:ascii="Arial" w:hAnsi="Arial" w:cs="Arial"/>
          <w:sz w:val="18"/>
          <w:szCs w:val="18"/>
        </w:rPr>
        <w:t>The performance of the prod</w:t>
      </w:r>
      <w:r w:rsidR="00DC0120">
        <w:rPr>
          <w:rFonts w:ascii="Arial" w:hAnsi="Arial" w:cs="Arial"/>
          <w:sz w:val="18"/>
          <w:szCs w:val="18"/>
        </w:rPr>
        <w:t>uct identified above</w:t>
      </w:r>
      <w:r w:rsidRPr="000569F8">
        <w:rPr>
          <w:rFonts w:ascii="Arial" w:hAnsi="Arial" w:cs="Arial"/>
          <w:sz w:val="18"/>
          <w:szCs w:val="18"/>
        </w:rPr>
        <w:t xml:space="preserve"> is in conformity with the declared performance</w:t>
      </w:r>
      <w:r w:rsidR="00DC0120">
        <w:rPr>
          <w:rFonts w:ascii="Arial" w:hAnsi="Arial" w:cs="Arial"/>
          <w:sz w:val="18"/>
          <w:szCs w:val="18"/>
        </w:rPr>
        <w:t>s</w:t>
      </w:r>
      <w:r w:rsidRPr="000569F8">
        <w:rPr>
          <w:rFonts w:ascii="Arial" w:hAnsi="Arial" w:cs="Arial"/>
          <w:sz w:val="18"/>
          <w:szCs w:val="18"/>
        </w:rPr>
        <w:t>.</w:t>
      </w:r>
      <w:r w:rsidR="00A40068" w:rsidRPr="000569F8">
        <w:rPr>
          <w:rFonts w:ascii="Arial" w:hAnsi="Arial" w:cs="Arial"/>
          <w:sz w:val="18"/>
          <w:szCs w:val="18"/>
        </w:rPr>
        <w:t xml:space="preserve"> </w:t>
      </w:r>
      <w:r w:rsidRPr="000569F8">
        <w:rPr>
          <w:rFonts w:ascii="Arial" w:hAnsi="Arial" w:cs="Arial"/>
          <w:sz w:val="18"/>
          <w:szCs w:val="18"/>
        </w:rPr>
        <w:t xml:space="preserve">This declaration of performance is issued under the sole responsibility of </w:t>
      </w:r>
      <w:r w:rsidR="00A40068" w:rsidRPr="000569F8">
        <w:rPr>
          <w:rFonts w:ascii="Arial" w:hAnsi="Arial" w:cs="Arial"/>
          <w:sz w:val="18"/>
          <w:szCs w:val="18"/>
        </w:rPr>
        <w:t xml:space="preserve">the manufacturer identified in point </w:t>
      </w:r>
      <w:r w:rsidR="00DC0120">
        <w:rPr>
          <w:rFonts w:ascii="Arial" w:hAnsi="Arial" w:cs="Arial"/>
          <w:sz w:val="18"/>
          <w:szCs w:val="18"/>
        </w:rPr>
        <w:t>3</w:t>
      </w:r>
      <w:r w:rsidRPr="000569F8">
        <w:rPr>
          <w:rFonts w:ascii="Arial" w:hAnsi="Arial" w:cs="Arial"/>
          <w:sz w:val="18"/>
          <w:szCs w:val="18"/>
        </w:rPr>
        <w:t>.</w:t>
      </w:r>
      <w:r w:rsidR="00A40068" w:rsidRPr="000569F8">
        <w:rPr>
          <w:rFonts w:ascii="Arial" w:hAnsi="Arial" w:cs="Arial"/>
          <w:sz w:val="18"/>
          <w:szCs w:val="18"/>
        </w:rPr>
        <w:t xml:space="preserve"> </w:t>
      </w:r>
      <w:r w:rsidRPr="000569F8">
        <w:rPr>
          <w:rFonts w:ascii="Arial" w:hAnsi="Arial" w:cs="Arial"/>
          <w:sz w:val="18"/>
          <w:szCs w:val="18"/>
        </w:rPr>
        <w:t>Signed for and on behalf of the manufacturer by:</w:t>
      </w:r>
      <w:r w:rsidR="00543CDE">
        <w:rPr>
          <w:rFonts w:ascii="Arial" w:hAnsi="Arial" w:cs="Arial"/>
          <w:sz w:val="18"/>
          <w:szCs w:val="18"/>
        </w:rPr>
        <w:br/>
      </w:r>
    </w:p>
    <w:p w14:paraId="2ABA0F84" w14:textId="77777777" w:rsidR="00C0238D" w:rsidRDefault="00DC0120" w:rsidP="00C0238D">
      <w:pPr>
        <w:pStyle w:val="ListParagraph"/>
        <w:tabs>
          <w:tab w:val="center" w:pos="4655"/>
        </w:tabs>
        <w:ind w:left="284"/>
        <w:rPr>
          <w:rFonts w:ascii="Arial" w:hAnsi="Arial" w:cs="Arial"/>
          <w:b/>
          <w:sz w:val="18"/>
          <w:szCs w:val="18"/>
        </w:rPr>
      </w:pPr>
      <w:r w:rsidRPr="004E5490">
        <w:rPr>
          <w:rFonts w:ascii="Arial" w:hAnsi="Arial" w:cs="Arial"/>
          <w:b/>
          <w:sz w:val="18"/>
          <w:szCs w:val="18"/>
        </w:rPr>
        <w:t xml:space="preserve">James Benson, Compliance </w:t>
      </w:r>
      <w:r w:rsidR="004E5490">
        <w:rPr>
          <w:rFonts w:ascii="Arial" w:hAnsi="Arial" w:cs="Arial"/>
          <w:b/>
          <w:sz w:val="18"/>
          <w:szCs w:val="18"/>
        </w:rPr>
        <w:t>manage</w:t>
      </w:r>
      <w:r w:rsidRPr="004E5490">
        <w:rPr>
          <w:rFonts w:ascii="Arial" w:hAnsi="Arial" w:cs="Arial"/>
          <w:b/>
          <w:sz w:val="18"/>
          <w:szCs w:val="18"/>
        </w:rPr>
        <w:t>r</w:t>
      </w:r>
    </w:p>
    <w:p w14:paraId="0D002BE3" w14:textId="14B6EC3E" w:rsidR="001735E8" w:rsidRPr="004E5490" w:rsidRDefault="00C0238D" w:rsidP="00C0238D">
      <w:pPr>
        <w:pStyle w:val="ListParagraph"/>
        <w:tabs>
          <w:tab w:val="center" w:pos="4655"/>
        </w:tabs>
        <w:ind w:left="284"/>
        <w:rPr>
          <w:rFonts w:ascii="Arial" w:hAnsi="Arial" w:cs="Arial"/>
          <w:sz w:val="18"/>
          <w:szCs w:val="18"/>
        </w:rPr>
      </w:pPr>
      <w:r w:rsidRPr="00C0238D">
        <w:rPr>
          <w:rFonts w:ascii="Arial" w:hAnsi="Arial" w:cs="Arial"/>
          <w:b/>
          <w:sz w:val="18"/>
          <w:szCs w:val="18"/>
        </w:rPr>
        <w:drawing>
          <wp:inline distT="0" distB="0" distL="0" distR="0" wp14:anchorId="4891CA69" wp14:editId="1C0EE75A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ab/>
      </w:r>
    </w:p>
    <w:sectPr w:rsidR="001735E8" w:rsidRPr="004E5490" w:rsidSect="00A40068">
      <w:headerReference w:type="default" r:id="rId8"/>
      <w:footerReference w:type="default" r:id="rId9"/>
      <w:pgSz w:w="11906" w:h="16838"/>
      <w:pgMar w:top="2410" w:right="1440" w:bottom="1440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1F5E9B21" w:rsidR="00ED5EE8" w:rsidRPr="00E15379" w:rsidRDefault="00ED5EE8">
    <w:pPr>
      <w:pStyle w:val="Footer"/>
      <w:rPr>
        <w:sz w:val="16"/>
      </w:rPr>
    </w:pPr>
    <w:r>
      <w:rPr>
        <w:sz w:val="16"/>
      </w:rPr>
      <w:t>Issue: 1</w:t>
    </w:r>
    <w:r w:rsidRPr="00E15379">
      <w:rPr>
        <w:sz w:val="16"/>
      </w:rPr>
      <w:ptab w:relativeTo="margin" w:alignment="center" w:leader="none"/>
    </w:r>
    <w:r w:rsidRPr="00E15379">
      <w:rPr>
        <w:sz w:val="16"/>
      </w:rPr>
      <w:t xml:space="preserve">Date: </w:t>
    </w:r>
    <w:r>
      <w:rPr>
        <w:sz w:val="16"/>
      </w:rPr>
      <w:t>0</w:t>
    </w:r>
    <w:r w:rsidR="004E5490">
      <w:rPr>
        <w:sz w:val="16"/>
      </w:rPr>
      <w:t>8</w:t>
    </w:r>
    <w:r>
      <w:rPr>
        <w:sz w:val="16"/>
      </w:rPr>
      <w:t>/0</w:t>
    </w:r>
    <w:r w:rsidR="004E5490">
      <w:rPr>
        <w:sz w:val="16"/>
      </w:rPr>
      <w:t>7</w:t>
    </w:r>
    <w:r>
      <w:rPr>
        <w:sz w:val="16"/>
      </w:rPr>
      <w:t>/202</w:t>
    </w:r>
    <w:r w:rsidR="004E5490">
      <w:rPr>
        <w:sz w:val="16"/>
      </w:rPr>
      <w:t>2</w:t>
    </w:r>
    <w:r w:rsidRPr="00E15379">
      <w:rPr>
        <w:sz w:val="16"/>
      </w:rPr>
      <w:ptab w:relativeTo="margin" w:alignment="right" w:leader="none"/>
    </w:r>
    <w:r>
      <w:rPr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77777777" w:rsidR="00ED5EE8" w:rsidRDefault="00ED5EE8">
    <w:pPr>
      <w:pStyle w:val="Header"/>
    </w:pPr>
    <w:r w:rsidRPr="00F857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F00A9" wp14:editId="7A892045">
              <wp:simplePos x="0" y="0"/>
              <wp:positionH relativeFrom="column">
                <wp:posOffset>6360160</wp:posOffset>
              </wp:positionH>
              <wp:positionV relativeFrom="paragraph">
                <wp:posOffset>-450215</wp:posOffset>
              </wp:positionV>
              <wp:extent cx="286385" cy="10739755"/>
              <wp:effectExtent l="0" t="0" r="0" b="444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385" cy="10739755"/>
                      </a:xfrm>
                      <a:prstGeom prst="rect">
                        <a:avLst/>
                      </a:prstGeom>
                      <a:solidFill>
                        <a:srgbClr val="DCED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F04EB" id="Rectangle 22" o:spid="_x0000_s1026" style="position:absolute;margin-left:500.8pt;margin-top:-35.45pt;width:22.55pt;height:8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" fillcolor="#dcedfc" stroked="f" strokeweight="1pt"/>
          </w:pict>
        </mc:Fallback>
      </mc:AlternateContent>
    </w: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A7DED7" wp14:editId="381CCDF9">
          <wp:simplePos x="0" y="0"/>
          <wp:positionH relativeFrom="column">
            <wp:posOffset>3742690</wp:posOffset>
          </wp:positionH>
          <wp:positionV relativeFrom="paragraph">
            <wp:posOffset>226695</wp:posOffset>
          </wp:positionV>
          <wp:extent cx="2235835" cy="533400"/>
          <wp:effectExtent l="0" t="0" r="0" b="0"/>
          <wp:wrapNone/>
          <wp:docPr id="30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dbury Group Logo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4416AAA4" wp14:editId="349D1F9C">
          <wp:simplePos x="0" y="0"/>
          <wp:positionH relativeFrom="column">
            <wp:posOffset>-266700</wp:posOffset>
          </wp:positionH>
          <wp:positionV relativeFrom="paragraph">
            <wp:posOffset>215900</wp:posOffset>
          </wp:positionV>
          <wp:extent cx="1257300" cy="551815"/>
          <wp:effectExtent l="0" t="0" r="0" b="635"/>
          <wp:wrapNone/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2M+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7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D268D6" wp14:editId="450C7FF5">
              <wp:simplePos x="0" y="0"/>
              <wp:positionH relativeFrom="column">
                <wp:posOffset>4286885</wp:posOffset>
              </wp:positionH>
              <wp:positionV relativeFrom="paragraph">
                <wp:posOffset>-5665470</wp:posOffset>
              </wp:positionV>
              <wp:extent cx="302260" cy="10739755"/>
              <wp:effectExtent l="952" t="0" r="3493" b="3492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260" cy="10739755"/>
                      </a:xfrm>
                      <a:prstGeom prst="rect">
                        <a:avLst/>
                      </a:prstGeom>
                      <a:solidFill>
                        <a:srgbClr val="DCED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D3218" id="Rectangle 23" o:spid="_x0000_s1026" style="position:absolute;margin-left:337.55pt;margin-top:-446.1pt;width:23.8pt;height:845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" fillcolor="#dcedfc" stroked="f" strokeweight="1pt"/>
          </w:pict>
        </mc:Fallback>
      </mc:AlternateContent>
    </w:r>
    <w:r w:rsidRPr="00F857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5A5E9" wp14:editId="070A8F33">
              <wp:simplePos x="0" y="0"/>
              <wp:positionH relativeFrom="column">
                <wp:posOffset>-923925</wp:posOffset>
              </wp:positionH>
              <wp:positionV relativeFrom="paragraph">
                <wp:posOffset>8378190</wp:posOffset>
              </wp:positionV>
              <wp:extent cx="286385" cy="1901825"/>
              <wp:effectExtent l="0" t="0" r="0" b="317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385" cy="1901825"/>
                      </a:xfrm>
                      <a:prstGeom prst="rect">
                        <a:avLst/>
                      </a:prstGeom>
                      <a:solidFill>
                        <a:srgbClr val="DCED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34437" id="Rectangle 21" o:spid="_x0000_s1026" style="position:absolute;margin-left:-72.75pt;margin-top:659.7pt;width:22.55pt;height:1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" fillcolor="#dcedfc" stroked="f" strokeweight="1pt"/>
          </w:pict>
        </mc:Fallback>
      </mc:AlternateContent>
    </w:r>
    <w:r w:rsidRPr="00F857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449CE" wp14:editId="7A30391A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286385" cy="18548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385" cy="1854835"/>
                      </a:xfrm>
                      <a:prstGeom prst="rect">
                        <a:avLst/>
                      </a:prstGeom>
                      <a:solidFill>
                        <a:srgbClr val="DCED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0705D" id="Rectangle 1" o:spid="_x0000_s1026" style="position:absolute;margin-left:-72.75pt;margin-top:-35.3pt;width:22.55pt;height:1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" fillcolor="#dcedfc" stroked="f" strokeweight="1pt"/>
          </w:pict>
        </mc:Fallback>
      </mc:AlternateContent>
    </w:r>
    <w:r w:rsidRPr="00F857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0B8F69" wp14:editId="01897774">
              <wp:simplePos x="0" y="0"/>
              <wp:positionH relativeFrom="column">
                <wp:posOffset>-923925</wp:posOffset>
              </wp:positionH>
              <wp:positionV relativeFrom="paragraph">
                <wp:posOffset>421005</wp:posOffset>
              </wp:positionV>
              <wp:extent cx="286385" cy="899731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385" cy="8997315"/>
                      </a:xfrm>
                      <a:prstGeom prst="rect">
                        <a:avLst/>
                      </a:prstGeom>
                      <a:solidFill>
                        <a:srgbClr val="004E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DE0FF" id="Rectangle 19" o:spid="_x0000_s1026" style="position:absolute;margin-left:-72.75pt;margin-top:33.15pt;width:22.55pt;height:7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" fillcolor="#004e8c" stroked="f" strokeweight="1pt"/>
          </w:pict>
        </mc:Fallback>
      </mc:AlternateContent>
    </w:r>
    <w:r w:rsidRPr="00F857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B85B7C" wp14:editId="689A5C51">
              <wp:simplePos x="0" y="0"/>
              <wp:positionH relativeFrom="column">
                <wp:posOffset>4232593</wp:posOffset>
              </wp:positionH>
              <wp:positionV relativeFrom="paragraph">
                <wp:posOffset>4708842</wp:posOffset>
              </wp:positionV>
              <wp:extent cx="302260" cy="10739755"/>
              <wp:effectExtent l="952" t="0" r="3493" b="3492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260" cy="10739755"/>
                      </a:xfrm>
                      <a:prstGeom prst="rect">
                        <a:avLst/>
                      </a:prstGeom>
                      <a:solidFill>
                        <a:srgbClr val="DCED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85363" id="Rectangle 2" o:spid="_x0000_s1026" style="position:absolute;margin-left:333.3pt;margin-top:370.75pt;width:23.8pt;height:845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" fillcolor="#dcedf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73ABB"/>
    <w:rsid w:val="000A74E7"/>
    <w:rsid w:val="000E272C"/>
    <w:rsid w:val="000F7798"/>
    <w:rsid w:val="00102FB6"/>
    <w:rsid w:val="00114FF0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D0369"/>
    <w:rsid w:val="00961EBF"/>
    <w:rsid w:val="00A0331A"/>
    <w:rsid w:val="00A40068"/>
    <w:rsid w:val="00A80569"/>
    <w:rsid w:val="00AA1DC2"/>
    <w:rsid w:val="00AB09F9"/>
    <w:rsid w:val="00AF3C69"/>
    <w:rsid w:val="00BE3876"/>
    <w:rsid w:val="00C0238D"/>
    <w:rsid w:val="00CB05BB"/>
    <w:rsid w:val="00CE58BF"/>
    <w:rsid w:val="00DC0120"/>
    <w:rsid w:val="00E15379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James Benson</cp:lastModifiedBy>
  <cp:revision>19</cp:revision>
  <cp:lastPrinted>2018-09-10T13:52:00Z</cp:lastPrinted>
  <dcterms:created xsi:type="dcterms:W3CDTF">2021-05-06T12:17:00Z</dcterms:created>
  <dcterms:modified xsi:type="dcterms:W3CDTF">2022-07-11T08:48:00Z</dcterms:modified>
</cp:coreProperties>
</file>