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821730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821730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821730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821730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821730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891169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57CDD43E" w14:textId="77777777" w:rsidR="00A40068" w:rsidRPr="00891169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891169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891169">
        <w:rPr>
          <w:rFonts w:ascii="Montserrat" w:hAnsi="Montserrat" w:cs="Arial"/>
          <w:sz w:val="16"/>
          <w:szCs w:val="16"/>
        </w:rPr>
        <w:t xml:space="preserve"> </w:t>
      </w:r>
      <w:r w:rsidR="00A0331A" w:rsidRPr="00891169">
        <w:rPr>
          <w:rFonts w:ascii="Montserrat" w:hAnsi="Montserrat" w:cs="Arial"/>
          <w:b/>
          <w:sz w:val="16"/>
          <w:szCs w:val="16"/>
        </w:rPr>
        <w:t>M2M</w:t>
      </w:r>
      <w:r w:rsidR="00A0331A" w:rsidRPr="00891169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891169">
        <w:rPr>
          <w:rFonts w:ascii="Montserrat" w:hAnsi="Montserrat" w:cs="Arial"/>
          <w:b/>
          <w:sz w:val="16"/>
          <w:szCs w:val="16"/>
        </w:rPr>
        <w:br/>
      </w:r>
    </w:p>
    <w:p w14:paraId="0E542E6F" w14:textId="6410C953" w:rsidR="00A40068" w:rsidRPr="00891169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891169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891169">
        <w:rPr>
          <w:rFonts w:ascii="Montserrat" w:hAnsi="Montserrat" w:cs="Arial"/>
          <w:b/>
          <w:sz w:val="16"/>
          <w:szCs w:val="16"/>
        </w:rPr>
        <w:t xml:space="preserve">: </w:t>
      </w:r>
      <w:r w:rsidR="009D7842" w:rsidRPr="00891169">
        <w:rPr>
          <w:rFonts w:ascii="Montserrat" w:hAnsi="Montserrat" w:cs="Arial"/>
          <w:b/>
          <w:sz w:val="16"/>
          <w:szCs w:val="16"/>
        </w:rPr>
        <w:t>Doub</w:t>
      </w:r>
      <w:r w:rsidR="00EF0F30" w:rsidRPr="00891169">
        <w:rPr>
          <w:rFonts w:ascii="Montserrat" w:hAnsi="Montserrat" w:cs="Arial"/>
          <w:b/>
          <w:sz w:val="16"/>
          <w:szCs w:val="16"/>
        </w:rPr>
        <w:t>le</w:t>
      </w:r>
      <w:r w:rsidR="004E5490" w:rsidRPr="00891169">
        <w:rPr>
          <w:rFonts w:ascii="Montserrat" w:hAnsi="Montserrat" w:cs="Arial"/>
          <w:b/>
          <w:sz w:val="16"/>
          <w:szCs w:val="16"/>
        </w:rPr>
        <w:t xml:space="preserve"> </w:t>
      </w:r>
      <w:r w:rsidRPr="00891169">
        <w:rPr>
          <w:rFonts w:ascii="Montserrat" w:hAnsi="Montserrat" w:cs="Arial"/>
          <w:b/>
          <w:sz w:val="16"/>
          <w:szCs w:val="16"/>
        </w:rPr>
        <w:t>External pedestrian</w:t>
      </w:r>
      <w:r w:rsidR="009126B2" w:rsidRPr="00891169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891169">
        <w:rPr>
          <w:rFonts w:ascii="Montserrat" w:hAnsi="Montserrat" w:cs="Arial"/>
          <w:b/>
          <w:sz w:val="16"/>
          <w:szCs w:val="16"/>
        </w:rPr>
        <w:t xml:space="preserve"> door set for commercial premises (or similar)</w:t>
      </w:r>
      <w:r w:rsidR="00114FF0" w:rsidRPr="00891169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891169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891169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891169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891169">
        <w:rPr>
          <w:rFonts w:ascii="Montserrat" w:hAnsi="Montserrat" w:cs="Arial"/>
          <w:sz w:val="16"/>
          <w:szCs w:val="16"/>
        </w:rPr>
        <w:t>trade mark</w:t>
      </w:r>
      <w:proofErr w:type="gramEnd"/>
      <w:r w:rsidRPr="00891169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891169">
        <w:rPr>
          <w:rFonts w:ascii="Montserrat" w:hAnsi="Montserrat" w:cs="Arial"/>
          <w:sz w:val="16"/>
          <w:szCs w:val="16"/>
        </w:rPr>
        <w:t>:</w:t>
      </w:r>
      <w:r w:rsidR="000569F8" w:rsidRPr="00891169">
        <w:rPr>
          <w:rFonts w:ascii="Montserrat" w:hAnsi="Montserrat" w:cs="Arial"/>
          <w:sz w:val="16"/>
          <w:szCs w:val="16"/>
        </w:rPr>
        <w:t xml:space="preserve"> </w:t>
      </w:r>
      <w:r w:rsidRPr="00891169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891169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891169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891169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891169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891169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891169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891169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891169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891169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891169">
        <w:rPr>
          <w:rFonts w:ascii="Montserrat" w:hAnsi="Montserrat" w:cs="Arial"/>
          <w:sz w:val="16"/>
          <w:szCs w:val="16"/>
        </w:rPr>
        <w:t xml:space="preserve">Harmonised standard: </w:t>
      </w:r>
      <w:r w:rsidRPr="00891169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891169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891169">
        <w:rPr>
          <w:rFonts w:ascii="Montserrat" w:hAnsi="Montserrat" w:cs="Arial"/>
          <w:b/>
          <w:sz w:val="16"/>
          <w:szCs w:val="16"/>
        </w:rPr>
        <w:br/>
      </w:r>
    </w:p>
    <w:p w14:paraId="78B855D6" w14:textId="0D72B306" w:rsidR="00A40068" w:rsidRPr="00891169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891169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891169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891169">
        <w:rPr>
          <w:rFonts w:ascii="Montserrat" w:hAnsi="Montserrat" w:cs="Arial"/>
          <w:b/>
          <w:sz w:val="16"/>
          <w:szCs w:val="16"/>
        </w:rPr>
        <w:t>: CE – 1812-CPR-1729</w:t>
      </w:r>
      <w:r w:rsidR="00A40068" w:rsidRPr="00891169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891169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891169">
        <w:rPr>
          <w:rFonts w:ascii="Montserrat" w:hAnsi="Montserrat" w:cs="Arial"/>
          <w:sz w:val="16"/>
          <w:szCs w:val="16"/>
        </w:rPr>
        <w:t>Declared performance</w:t>
      </w:r>
      <w:r w:rsidR="00735228" w:rsidRPr="00891169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891169" w14:paraId="122F0AB2" w14:textId="77777777" w:rsidTr="00AD2B45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891169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891169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891169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891169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891169" w14:paraId="4369004B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891169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891169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891169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891169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891169" w14:paraId="065EA672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891169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891169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891169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91169" w14:paraId="7BE6CE9A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891169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891169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891169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91169" w14:paraId="79480D80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891169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891169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891169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91169" w14:paraId="1E4E4076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891169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891169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891169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91169" w14:paraId="2574B869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891169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891169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891169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91169" w14:paraId="2BA57AF1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891169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19F4CD9B" w:rsidR="00751738" w:rsidRPr="00891169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Up to 2454</w:t>
            </w:r>
            <w:r w:rsidR="00751738" w:rsidRPr="00891169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891169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91169" w14:paraId="0E1388EA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891169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891169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891169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891169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91169" w14:paraId="60FA4A4C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891169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891169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891169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891169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891169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891169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91169" w14:paraId="7BF21812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891169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891169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891169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891169" w14:paraId="1E38C7EF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891169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891169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891169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891169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891169" w14:paraId="2E82A803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891169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891169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891169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891169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891169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891169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891169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77777777" w:rsidR="00ED5EE8" w:rsidRPr="00891169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90</w:t>
            </w:r>
          </w:p>
          <w:p w14:paraId="14B897ED" w14:textId="77777777" w:rsidR="00ED5EE8" w:rsidRPr="00891169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891169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891169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891169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891169" w14:paraId="76DE3FEA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891169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891169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891169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891169" w14:paraId="3D2BF637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891169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891169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891169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891169" w14:paraId="46158859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891169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891169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891169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891169" w14:paraId="1CF0A77A" w14:textId="77777777" w:rsidTr="00AD2B45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891169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891169">
              <w:rPr>
                <w:rFonts w:ascii="Montserrat" w:hAnsi="Montserrat" w:cs="Arial"/>
                <w:sz w:val="14"/>
                <w:szCs w:val="16"/>
              </w:rPr>
              <w:t>-</w:t>
            </w:r>
            <w:r w:rsidRPr="00891169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891169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891169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891169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891169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891169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891169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891169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89116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891169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891169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891169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891169">
        <w:rPr>
          <w:rFonts w:ascii="Montserrat" w:hAnsi="Montserrat" w:cs="Arial"/>
          <w:sz w:val="16"/>
          <w:szCs w:val="16"/>
        </w:rPr>
        <w:t>The performance of the prod</w:t>
      </w:r>
      <w:r w:rsidR="00DC0120" w:rsidRPr="00891169">
        <w:rPr>
          <w:rFonts w:ascii="Montserrat" w:hAnsi="Montserrat" w:cs="Arial"/>
          <w:sz w:val="16"/>
          <w:szCs w:val="16"/>
        </w:rPr>
        <w:t>uct identified above</w:t>
      </w:r>
      <w:r w:rsidRPr="00891169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891169">
        <w:rPr>
          <w:rFonts w:ascii="Montserrat" w:hAnsi="Montserrat" w:cs="Arial"/>
          <w:sz w:val="16"/>
          <w:szCs w:val="16"/>
        </w:rPr>
        <w:t>s</w:t>
      </w:r>
      <w:r w:rsidRPr="00891169">
        <w:rPr>
          <w:rFonts w:ascii="Montserrat" w:hAnsi="Montserrat" w:cs="Arial"/>
          <w:sz w:val="16"/>
          <w:szCs w:val="16"/>
        </w:rPr>
        <w:t>.</w:t>
      </w:r>
      <w:r w:rsidR="00A40068" w:rsidRPr="00891169">
        <w:rPr>
          <w:rFonts w:ascii="Montserrat" w:hAnsi="Montserrat" w:cs="Arial"/>
          <w:sz w:val="16"/>
          <w:szCs w:val="16"/>
        </w:rPr>
        <w:t xml:space="preserve"> </w:t>
      </w:r>
      <w:r w:rsidRPr="00891169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891169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891169">
        <w:rPr>
          <w:rFonts w:ascii="Montserrat" w:hAnsi="Montserrat" w:cs="Arial"/>
          <w:sz w:val="16"/>
          <w:szCs w:val="16"/>
        </w:rPr>
        <w:t>3</w:t>
      </w:r>
      <w:r w:rsidRPr="00891169">
        <w:rPr>
          <w:rFonts w:ascii="Montserrat" w:hAnsi="Montserrat" w:cs="Arial"/>
          <w:sz w:val="16"/>
          <w:szCs w:val="16"/>
        </w:rPr>
        <w:t>.</w:t>
      </w:r>
      <w:r w:rsidR="00A40068" w:rsidRPr="00891169">
        <w:rPr>
          <w:rFonts w:ascii="Montserrat" w:hAnsi="Montserrat" w:cs="Arial"/>
          <w:sz w:val="16"/>
          <w:szCs w:val="16"/>
        </w:rPr>
        <w:t xml:space="preserve"> </w:t>
      </w:r>
      <w:r w:rsidRPr="00891169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891169">
        <w:rPr>
          <w:rFonts w:ascii="Montserrat" w:hAnsi="Montserrat" w:cs="Arial"/>
          <w:sz w:val="16"/>
          <w:szCs w:val="16"/>
        </w:rPr>
        <w:br/>
      </w:r>
    </w:p>
    <w:p w14:paraId="0D002BE3" w14:textId="1AFEB290" w:rsidR="001735E8" w:rsidRPr="00891169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891169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891169">
        <w:rPr>
          <w:rFonts w:ascii="Montserrat" w:hAnsi="Montserrat" w:cs="Arial"/>
          <w:b/>
          <w:sz w:val="16"/>
          <w:szCs w:val="16"/>
        </w:rPr>
        <w:t>manage</w:t>
      </w:r>
      <w:r w:rsidRPr="00891169">
        <w:rPr>
          <w:rFonts w:ascii="Montserrat" w:hAnsi="Montserrat" w:cs="Arial"/>
          <w:b/>
          <w:sz w:val="16"/>
          <w:szCs w:val="16"/>
        </w:rPr>
        <w:t>r</w:t>
      </w:r>
    </w:p>
    <w:p w14:paraId="3814EC9E" w14:textId="66D664BF" w:rsidR="006B6188" w:rsidRPr="00891169" w:rsidRDefault="006B6188" w:rsidP="004E5490">
      <w:pPr>
        <w:pStyle w:val="ListParagraph"/>
        <w:ind w:left="284"/>
        <w:rPr>
          <w:rFonts w:ascii="Montserrat" w:hAnsi="Montserrat" w:cs="Arial"/>
          <w:sz w:val="16"/>
          <w:szCs w:val="16"/>
        </w:rPr>
      </w:pPr>
      <w:r w:rsidRPr="00891169">
        <w:rPr>
          <w:rFonts w:ascii="Montserrat" w:hAnsi="Montserrat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33E916A" wp14:editId="00876FBD">
            <wp:simplePos x="1095153" y="9229060"/>
            <wp:positionH relativeFrom="column">
              <wp:align>left</wp:align>
            </wp:positionH>
            <wp:positionV relativeFrom="paragraph">
              <wp:align>top</wp:align>
            </wp:positionV>
            <wp:extent cx="1933845" cy="571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0EC">
        <w:rPr>
          <w:rFonts w:ascii="Montserrat" w:hAnsi="Montserrat" w:cs="Arial"/>
          <w:sz w:val="16"/>
          <w:szCs w:val="16"/>
        </w:rPr>
        <w:br w:type="textWrapping" w:clear="all"/>
      </w:r>
    </w:p>
    <w:sectPr w:rsidR="006B6188" w:rsidRPr="00891169" w:rsidSect="00821730">
      <w:headerReference w:type="default" r:id="rId8"/>
      <w:footerReference w:type="default" r:id="rId9"/>
      <w:pgSz w:w="11906" w:h="16838"/>
      <w:pgMar w:top="1702" w:right="1440" w:bottom="1135" w:left="1440" w:header="624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E8E8" w14:textId="53FD9AF8" w:rsidR="00891169" w:rsidRPr="00891169" w:rsidRDefault="00C06E38" w:rsidP="00891169">
    <w:pPr>
      <w:pStyle w:val="Footer"/>
      <w:rPr>
        <w:rFonts w:ascii="Montserrat Light" w:hAnsi="Montserrat Ligh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D86BEF3" wp14:editId="644685EE">
              <wp:simplePos x="0" y="0"/>
              <wp:positionH relativeFrom="column">
                <wp:posOffset>4413250</wp:posOffset>
              </wp:positionH>
              <wp:positionV relativeFrom="paragraph">
                <wp:posOffset>67587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32EC9" w14:textId="549E57B3" w:rsidR="00891169" w:rsidRPr="00C06E38" w:rsidRDefault="00821730" w:rsidP="00891169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91169" w:rsidRPr="00C06E38">
                              <w:rPr>
                                <w:rStyle w:val="Hyperlink"/>
                                <w:rFonts w:ascii="Montserrat" w:hAnsi="Montserrat"/>
                                <w:sz w:val="16"/>
                                <w:szCs w:val="16"/>
                                <w:u w:val="none"/>
                              </w:rPr>
                              <w:t>www.bradbury-group.com</w:t>
                            </w:r>
                          </w:hyperlink>
                        </w:p>
                        <w:p w14:paraId="179AAF87" w14:textId="77777777" w:rsidR="00891169" w:rsidRPr="00ED68D2" w:rsidRDefault="00891169" w:rsidP="00891169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6BE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5pt;margin-top:5.3pt;width:180.5pt;height:1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" filled="f" stroked="f">
              <v:textbox>
                <w:txbxContent>
                  <w:p w14:paraId="3AB32EC9" w14:textId="549E57B3" w:rsidR="00891169" w:rsidRPr="00C06E38" w:rsidRDefault="00821730" w:rsidP="00891169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hyperlink r:id="rId2" w:history="1">
                      <w:r w:rsidR="00891169" w:rsidRPr="00C06E38">
                        <w:rPr>
                          <w:rStyle w:val="Hyperlink"/>
                          <w:rFonts w:ascii="Montserrat" w:hAnsi="Montserrat"/>
                          <w:sz w:val="16"/>
                          <w:szCs w:val="16"/>
                          <w:u w:val="none"/>
                        </w:rPr>
                        <w:t>www.bradbury-group.com</w:t>
                      </w:r>
                    </w:hyperlink>
                  </w:p>
                  <w:p w14:paraId="179AAF87" w14:textId="77777777" w:rsidR="00891169" w:rsidRPr="00ED68D2" w:rsidRDefault="00891169" w:rsidP="00891169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91169"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8A0AC" wp14:editId="62B6CA76">
              <wp:simplePos x="0" y="0"/>
              <wp:positionH relativeFrom="column">
                <wp:posOffset>-446116</wp:posOffset>
              </wp:positionH>
              <wp:positionV relativeFrom="paragraph">
                <wp:posOffset>-38909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7C7DBF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-3.05pt" to="495.8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" strokecolor="#f58436" strokeweight=".5pt">
              <v:stroke joinstyle="miter"/>
            </v:line>
          </w:pict>
        </mc:Fallback>
      </mc:AlternateContent>
    </w:r>
  </w:p>
  <w:p w14:paraId="3F5D3647" w14:textId="222DB449" w:rsidR="00ED5EE8" w:rsidRPr="00C06E38" w:rsidRDefault="00ED5EE8">
    <w:pPr>
      <w:pStyle w:val="Footer"/>
      <w:rPr>
        <w:rFonts w:ascii="Montserrat" w:hAnsi="Montserrat"/>
        <w:sz w:val="16"/>
      </w:rPr>
    </w:pPr>
    <w:r w:rsidRPr="00C06E38">
      <w:rPr>
        <w:rFonts w:ascii="Montserrat" w:hAnsi="Montserrat"/>
        <w:sz w:val="16"/>
      </w:rPr>
      <w:t>Issue: 1</w:t>
    </w:r>
    <w:r w:rsidR="00891169" w:rsidRPr="00C06E38">
      <w:rPr>
        <w:rFonts w:ascii="Montserrat" w:hAnsi="Montserrat"/>
        <w:sz w:val="16"/>
      </w:rPr>
      <w:t xml:space="preserve">                                    </w:t>
    </w:r>
    <w:r w:rsidRPr="00C06E38">
      <w:rPr>
        <w:rFonts w:ascii="Montserrat" w:hAnsi="Montserrat"/>
        <w:sz w:val="16"/>
      </w:rPr>
      <w:t>Date: 0</w:t>
    </w:r>
    <w:r w:rsidR="004E5490" w:rsidRPr="00C06E38">
      <w:rPr>
        <w:rFonts w:ascii="Montserrat" w:hAnsi="Montserrat"/>
        <w:sz w:val="16"/>
      </w:rPr>
      <w:t>8</w:t>
    </w:r>
    <w:r w:rsidRPr="00C06E38">
      <w:rPr>
        <w:rFonts w:ascii="Montserrat" w:hAnsi="Montserrat"/>
        <w:sz w:val="16"/>
      </w:rPr>
      <w:t>/0</w:t>
    </w:r>
    <w:r w:rsidR="004E5490" w:rsidRPr="00C06E38">
      <w:rPr>
        <w:rFonts w:ascii="Montserrat" w:hAnsi="Montserrat"/>
        <w:sz w:val="16"/>
      </w:rPr>
      <w:t>7</w:t>
    </w:r>
    <w:r w:rsidRPr="00C06E38">
      <w:rPr>
        <w:rFonts w:ascii="Montserrat" w:hAnsi="Montserrat"/>
        <w:sz w:val="16"/>
      </w:rPr>
      <w:t>/202</w:t>
    </w:r>
    <w:r w:rsidR="004E5490" w:rsidRPr="00C06E38">
      <w:rPr>
        <w:rFonts w:ascii="Montserrat" w:hAnsi="Montserrat"/>
        <w:sz w:val="16"/>
      </w:rPr>
      <w:t>2</w:t>
    </w:r>
    <w:r w:rsidR="00891169" w:rsidRPr="00C06E38">
      <w:rPr>
        <w:rFonts w:ascii="Montserrat" w:hAnsi="Montserrat"/>
        <w:sz w:val="16"/>
      </w:rPr>
      <w:t xml:space="preserve">                                  </w:t>
    </w:r>
    <w:r w:rsidRPr="00C06E38">
      <w:rPr>
        <w:rFonts w:ascii="Montserrat" w:hAnsi="Montserrat"/>
        <w:sz w:val="16"/>
      </w:rPr>
      <w:t>Author: JSB</w:t>
    </w:r>
  </w:p>
  <w:p w14:paraId="1E7E60DD" w14:textId="7156B2BB" w:rsidR="00891169" w:rsidRDefault="00891169">
    <w:pPr>
      <w:pStyle w:val="Footer"/>
      <w:rPr>
        <w:sz w:val="16"/>
      </w:rPr>
    </w:pPr>
  </w:p>
  <w:p w14:paraId="2613B5D5" w14:textId="77777777" w:rsidR="00891169" w:rsidRPr="00E15379" w:rsidRDefault="0089116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1609D5C0" w:rsidR="00ED5EE8" w:rsidRDefault="00891169" w:rsidP="006A70EC">
    <w:pPr>
      <w:pStyle w:val="Header"/>
      <w:tabs>
        <w:tab w:val="clear" w:pos="4513"/>
        <w:tab w:val="clear" w:pos="9026"/>
        <w:tab w:val="left" w:pos="7183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9028D9" wp14:editId="037A1D1B">
          <wp:simplePos x="0" y="0"/>
          <wp:positionH relativeFrom="column">
            <wp:posOffset>3133725</wp:posOffset>
          </wp:positionH>
          <wp:positionV relativeFrom="paragraph">
            <wp:posOffset>-173355</wp:posOffset>
          </wp:positionV>
          <wp:extent cx="3091180" cy="5302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0E272C"/>
    <w:rsid w:val="000F7798"/>
    <w:rsid w:val="00102FB6"/>
    <w:rsid w:val="00114FF0"/>
    <w:rsid w:val="00147803"/>
    <w:rsid w:val="001735E8"/>
    <w:rsid w:val="00184415"/>
    <w:rsid w:val="00217C60"/>
    <w:rsid w:val="0030316A"/>
    <w:rsid w:val="003100A1"/>
    <w:rsid w:val="0036732E"/>
    <w:rsid w:val="003E25D8"/>
    <w:rsid w:val="00455D1C"/>
    <w:rsid w:val="00487619"/>
    <w:rsid w:val="004A6FBF"/>
    <w:rsid w:val="004E5490"/>
    <w:rsid w:val="00543CDE"/>
    <w:rsid w:val="00590EB5"/>
    <w:rsid w:val="00697EFA"/>
    <w:rsid w:val="006A5043"/>
    <w:rsid w:val="006A70EC"/>
    <w:rsid w:val="006B6188"/>
    <w:rsid w:val="0071339C"/>
    <w:rsid w:val="0072315C"/>
    <w:rsid w:val="00735228"/>
    <w:rsid w:val="00751738"/>
    <w:rsid w:val="0075508D"/>
    <w:rsid w:val="007710BB"/>
    <w:rsid w:val="00821730"/>
    <w:rsid w:val="008837A9"/>
    <w:rsid w:val="00891169"/>
    <w:rsid w:val="008D0369"/>
    <w:rsid w:val="009126B2"/>
    <w:rsid w:val="00961EBF"/>
    <w:rsid w:val="009D7842"/>
    <w:rsid w:val="00A0331A"/>
    <w:rsid w:val="00A40068"/>
    <w:rsid w:val="00A80569"/>
    <w:rsid w:val="00AA1DC2"/>
    <w:rsid w:val="00AB09F9"/>
    <w:rsid w:val="00AD2B45"/>
    <w:rsid w:val="00AF3C69"/>
    <w:rsid w:val="00B517D3"/>
    <w:rsid w:val="00BE3876"/>
    <w:rsid w:val="00C06E38"/>
    <w:rsid w:val="00C61B8E"/>
    <w:rsid w:val="00C96143"/>
    <w:rsid w:val="00CB05BB"/>
    <w:rsid w:val="00CE58BF"/>
    <w:rsid w:val="00DC0120"/>
    <w:rsid w:val="00E15379"/>
    <w:rsid w:val="00E821AB"/>
    <w:rsid w:val="00E85AA9"/>
    <w:rsid w:val="00ED5EE8"/>
    <w:rsid w:val="00EF0F30"/>
    <w:rsid w:val="00F468EB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dbury-group.com" TargetMode="External"/><Relationship Id="rId1" Type="http://schemas.openxmlformats.org/officeDocument/2006/relationships/hyperlink" Target="http://www.bradbury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28</cp:revision>
  <cp:lastPrinted>2018-09-10T13:52:00Z</cp:lastPrinted>
  <dcterms:created xsi:type="dcterms:W3CDTF">2021-05-06T12:17:00Z</dcterms:created>
  <dcterms:modified xsi:type="dcterms:W3CDTF">2022-09-07T16:15:00Z</dcterms:modified>
</cp:coreProperties>
</file>